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7EBB5" w14:textId="303B179E" w:rsidR="0004230E" w:rsidRPr="0004230E" w:rsidRDefault="0004230E" w:rsidP="00C82E82">
      <w:pPr>
        <w:rPr>
          <w:rFonts w:ascii="Cambria" w:hAnsi="Cambria"/>
          <w:b/>
          <w:bCs/>
          <w:sz w:val="22"/>
          <w:szCs w:val="22"/>
        </w:rPr>
      </w:pPr>
      <w:r w:rsidRPr="0004230E">
        <w:rPr>
          <w:rFonts w:ascii="Cambria" w:hAnsi="Cambria"/>
          <w:b/>
          <w:bCs/>
          <w:sz w:val="22"/>
          <w:szCs w:val="22"/>
        </w:rPr>
        <w:t>Policy is Mandatory to Deliver Statewide Waste Reduction Goals</w:t>
      </w:r>
    </w:p>
    <w:p w14:paraId="497F3683" w14:textId="639B722C" w:rsidR="00C82E82" w:rsidRPr="008A5A76" w:rsidRDefault="00CF12DB" w:rsidP="00C82E82">
      <w:pPr>
        <w:rPr>
          <w:rFonts w:ascii="Cambria" w:hAnsi="Cambria"/>
          <w:sz w:val="22"/>
          <w:szCs w:val="22"/>
        </w:rPr>
      </w:pPr>
      <w:r w:rsidRPr="008A5A76">
        <w:rPr>
          <w:rFonts w:ascii="Cambria" w:hAnsi="Cambria"/>
          <w:sz w:val="22"/>
          <w:szCs w:val="22"/>
        </w:rPr>
        <w:t xml:space="preserve">New York local governments will not realistically achieve the State’s 85% waste reduction by 2050 and related Climate Action Plan goals without a broad, system-wide restructuring of waste and recycling management. </w:t>
      </w:r>
      <w:r w:rsidR="00C82E82" w:rsidRPr="008A5A76">
        <w:rPr>
          <w:rFonts w:ascii="Cambria" w:hAnsi="Cambria"/>
          <w:sz w:val="22"/>
          <w:szCs w:val="22"/>
        </w:rPr>
        <w:t>For decades, statewide recycling rates have been stagnant</w:t>
      </w:r>
      <w:r w:rsidR="008A5A76">
        <w:rPr>
          <w:rFonts w:ascii="Cambria" w:hAnsi="Cambria"/>
          <w:sz w:val="22"/>
          <w:szCs w:val="22"/>
        </w:rPr>
        <w:t xml:space="preserve">, </w:t>
      </w:r>
      <w:r w:rsidR="00C82E82" w:rsidRPr="008A5A76">
        <w:rPr>
          <w:rFonts w:ascii="Cambria" w:hAnsi="Cambria"/>
          <w:sz w:val="22"/>
          <w:szCs w:val="22"/>
        </w:rPr>
        <w:t xml:space="preserve">hovering near 20%.  </w:t>
      </w:r>
      <w:r w:rsidRPr="008A5A76">
        <w:rPr>
          <w:rFonts w:ascii="Cambria" w:hAnsi="Cambria"/>
          <w:sz w:val="22"/>
          <w:szCs w:val="22"/>
        </w:rPr>
        <w:t>The gap is too large to close through incremental municipal program tweaks</w:t>
      </w:r>
      <w:r w:rsidR="00C82E82" w:rsidRPr="008A5A76">
        <w:rPr>
          <w:rFonts w:ascii="Cambria" w:hAnsi="Cambria"/>
          <w:sz w:val="22"/>
          <w:szCs w:val="22"/>
        </w:rPr>
        <w:t xml:space="preserve">- the State must move </w:t>
      </w:r>
      <w:r w:rsidR="008A5A76">
        <w:rPr>
          <w:rFonts w:ascii="Cambria" w:hAnsi="Cambria"/>
          <w:sz w:val="22"/>
          <w:szCs w:val="22"/>
        </w:rPr>
        <w:t>to</w:t>
      </w:r>
      <w:r w:rsidR="00C82E82" w:rsidRPr="008A5A76">
        <w:rPr>
          <w:rFonts w:ascii="Cambria" w:hAnsi="Cambria"/>
          <w:sz w:val="22"/>
          <w:szCs w:val="22"/>
        </w:rPr>
        <w:t xml:space="preserve"> adopt a </w:t>
      </w:r>
      <w:r w:rsidR="008A5A76">
        <w:rPr>
          <w:rFonts w:ascii="Cambria" w:hAnsi="Cambria"/>
          <w:sz w:val="22"/>
          <w:szCs w:val="22"/>
        </w:rPr>
        <w:t>strategy</w:t>
      </w:r>
      <w:r w:rsidR="00C82E82" w:rsidRPr="008A5A76">
        <w:rPr>
          <w:rFonts w:ascii="Cambria" w:hAnsi="Cambria"/>
          <w:sz w:val="22"/>
          <w:szCs w:val="22"/>
        </w:rPr>
        <w:t xml:space="preserve"> that aligns responsibility, funding, and accountability across the entire materials management system.</w:t>
      </w:r>
    </w:p>
    <w:p w14:paraId="1BA885C4" w14:textId="77777777" w:rsidR="007515E4" w:rsidRPr="007515E4" w:rsidRDefault="007515E4" w:rsidP="007515E4">
      <w:pPr>
        <w:rPr>
          <w:rFonts w:ascii="Cambria" w:hAnsi="Cambria"/>
          <w:sz w:val="22"/>
          <w:szCs w:val="22"/>
        </w:rPr>
      </w:pPr>
      <w:r w:rsidRPr="007515E4">
        <w:rPr>
          <w:rFonts w:ascii="Cambria" w:hAnsi="Cambria"/>
          <w:sz w:val="22"/>
          <w:szCs w:val="22"/>
        </w:rPr>
        <w:t>New York is currently spending approximately $788 million per year to manage a recycling system that is both expensive and underperforming. While the State has a well-established network of recycling infrastructure and decades of operational experience, performance has stagnated. To achieve the 85% waste reduction target by 2050, New York would need to effectively quadruple recycling performance over the next ~24 years. Yet statewide recycling rates have not meaningfully improved in decades, raising serious questions about whether the current system structure can deliver the scale of change required.</w:t>
      </w:r>
    </w:p>
    <w:p w14:paraId="2B207E94" w14:textId="77777777" w:rsidR="007515E4" w:rsidRPr="007515E4" w:rsidRDefault="007515E4" w:rsidP="007515E4">
      <w:pPr>
        <w:rPr>
          <w:rFonts w:ascii="Cambria" w:hAnsi="Cambria"/>
          <w:sz w:val="22"/>
          <w:szCs w:val="22"/>
        </w:rPr>
      </w:pPr>
      <w:r w:rsidRPr="007515E4">
        <w:rPr>
          <w:rFonts w:ascii="Cambria" w:hAnsi="Cambria"/>
          <w:sz w:val="22"/>
          <w:szCs w:val="22"/>
        </w:rPr>
        <w:t>The most significant opportunity lies in packaging and paper, which comprise roughly 44% of New York’s municipal solid waste stream. If the State is serious about meeting its 2050 goals, this category must be addressed at scale. Meaningful gains in packaging and paper recovery alone could account for nearly half of the 85% waste reduction objective, making it the primary lever for systemic improvement.</w:t>
      </w:r>
    </w:p>
    <w:p w14:paraId="73A6BDDC" w14:textId="4A59AC41" w:rsidR="00CF12DB" w:rsidRPr="008A5A76" w:rsidRDefault="00CF12DB" w:rsidP="00CF12DB">
      <w:pPr>
        <w:rPr>
          <w:rFonts w:ascii="Cambria" w:hAnsi="Cambria"/>
          <w:sz w:val="22"/>
          <w:szCs w:val="22"/>
        </w:rPr>
      </w:pPr>
      <w:r w:rsidRPr="008A5A76">
        <w:rPr>
          <w:rFonts w:ascii="Cambria" w:hAnsi="Cambria"/>
          <w:sz w:val="22"/>
          <w:szCs w:val="22"/>
        </w:rPr>
        <w:t>Access is not the limiting factor</w:t>
      </w:r>
      <w:r w:rsidR="007515E4">
        <w:rPr>
          <w:rFonts w:ascii="Cambria" w:hAnsi="Cambria"/>
          <w:sz w:val="22"/>
          <w:szCs w:val="22"/>
        </w:rPr>
        <w:t xml:space="preserve"> to stagnant recycling rates</w:t>
      </w:r>
      <w:r w:rsidRPr="008A5A76">
        <w:rPr>
          <w:rFonts w:ascii="Cambria" w:hAnsi="Cambria"/>
          <w:sz w:val="22"/>
          <w:szCs w:val="22"/>
        </w:rPr>
        <w:t>—capture is. About 97% of New Yorkers have curbside recycling access (though roughly half of that population is in NYC). Multi-family access is reported around 87% statewide, but drops to roughly 48% when NYC is removed. Even where access exists, the State is still only recovering about 18–20% of MSW, demonstrating that the core problem is system performance, not simply program availability.</w:t>
      </w:r>
    </w:p>
    <w:p w14:paraId="376CE15B" w14:textId="4A0C1DBE" w:rsidR="00CF12DB" w:rsidRPr="008A5A76" w:rsidRDefault="00CF12DB" w:rsidP="00CF12DB">
      <w:pPr>
        <w:rPr>
          <w:rFonts w:ascii="Cambria" w:hAnsi="Cambria"/>
          <w:sz w:val="22"/>
          <w:szCs w:val="22"/>
        </w:rPr>
      </w:pPr>
      <w:r w:rsidRPr="008A5A76">
        <w:rPr>
          <w:rFonts w:ascii="Cambria" w:hAnsi="Cambria"/>
          <w:sz w:val="22"/>
          <w:szCs w:val="22"/>
        </w:rPr>
        <w:t xml:space="preserve">The recoverable material is already “in reach,” but not being captured. </w:t>
      </w:r>
      <w:r w:rsidR="008A5A76" w:rsidRPr="008A5A76">
        <w:rPr>
          <w:rFonts w:ascii="Cambria" w:hAnsi="Cambria"/>
          <w:sz w:val="22"/>
          <w:szCs w:val="22"/>
        </w:rPr>
        <w:t>NY Needs Assessment f</w:t>
      </w:r>
      <w:r w:rsidRPr="008A5A76">
        <w:rPr>
          <w:rFonts w:ascii="Cambria" w:hAnsi="Cambria"/>
          <w:sz w:val="22"/>
          <w:szCs w:val="22"/>
        </w:rPr>
        <w:t>indings indicate 76% of paper and packaging generated could be recovered through existing curbside programs, and most recycling programs already accept the majority of these materials. Yet statewide, only about 30% of packaging and paper</w:t>
      </w:r>
      <w:r w:rsidR="007515E4">
        <w:rPr>
          <w:rFonts w:ascii="Cambria" w:hAnsi="Cambria"/>
          <w:sz w:val="22"/>
          <w:szCs w:val="22"/>
        </w:rPr>
        <w:t xml:space="preserve"> is actually captured</w:t>
      </w:r>
      <w:r w:rsidRPr="008A5A76">
        <w:rPr>
          <w:rFonts w:ascii="Cambria" w:hAnsi="Cambria"/>
          <w:sz w:val="22"/>
          <w:szCs w:val="22"/>
        </w:rPr>
        <w:t>, meaning roughly 70% is still being missed despite broad acceptance.</w:t>
      </w:r>
    </w:p>
    <w:p w14:paraId="24CB7509" w14:textId="628C2FD2" w:rsidR="007515E4" w:rsidRPr="007515E4" w:rsidRDefault="009F2002" w:rsidP="007515E4">
      <w:pPr>
        <w:rPr>
          <w:rFonts w:ascii="Cambria" w:hAnsi="Cambria"/>
          <w:sz w:val="22"/>
          <w:szCs w:val="22"/>
        </w:rPr>
      </w:pPr>
      <w:r>
        <w:rPr>
          <w:rFonts w:ascii="Cambria" w:hAnsi="Cambria"/>
          <w:sz w:val="22"/>
          <w:szCs w:val="22"/>
        </w:rPr>
        <w:t>Recycling c</w:t>
      </w:r>
      <w:r w:rsidR="007515E4" w:rsidRPr="007515E4">
        <w:rPr>
          <w:rFonts w:ascii="Cambria" w:hAnsi="Cambria"/>
          <w:sz w:val="22"/>
          <w:szCs w:val="22"/>
        </w:rPr>
        <w:t xml:space="preserve">ontamination is not a peripheral concern — it is a structural barrier to achieving meaningful recycling performance. </w:t>
      </w:r>
      <w:r w:rsidR="007515E4">
        <w:rPr>
          <w:rFonts w:ascii="Cambria" w:hAnsi="Cambria"/>
          <w:sz w:val="22"/>
          <w:szCs w:val="22"/>
        </w:rPr>
        <w:t>C</w:t>
      </w:r>
      <w:r w:rsidR="007515E4" w:rsidRPr="007515E4">
        <w:rPr>
          <w:rFonts w:ascii="Cambria" w:hAnsi="Cambria"/>
          <w:sz w:val="22"/>
          <w:szCs w:val="22"/>
        </w:rPr>
        <w:t>ontamination creat</w:t>
      </w:r>
      <w:r>
        <w:rPr>
          <w:rFonts w:ascii="Cambria" w:hAnsi="Cambria"/>
          <w:sz w:val="22"/>
          <w:szCs w:val="22"/>
        </w:rPr>
        <w:t>es</w:t>
      </w:r>
      <w:r w:rsidR="007515E4" w:rsidRPr="007515E4">
        <w:rPr>
          <w:rFonts w:ascii="Cambria" w:hAnsi="Cambria"/>
          <w:sz w:val="22"/>
          <w:szCs w:val="22"/>
        </w:rPr>
        <w:t xml:space="preserve"> significant cost burdens for collection, processing, and disposal. These costs ultimately fall on municipalities and taxpayers when material that was intended to be recycled must instead be managed as waste</w:t>
      </w:r>
      <w:r w:rsidR="007515E4">
        <w:rPr>
          <w:rFonts w:ascii="Cambria" w:hAnsi="Cambria"/>
          <w:sz w:val="22"/>
          <w:szCs w:val="22"/>
        </w:rPr>
        <w:t>.</w:t>
      </w:r>
    </w:p>
    <w:p w14:paraId="405871C2" w14:textId="371364D4" w:rsidR="00CF12DB" w:rsidRPr="008A5A76" w:rsidRDefault="007515E4" w:rsidP="007515E4">
      <w:pPr>
        <w:rPr>
          <w:rFonts w:ascii="Cambria" w:hAnsi="Cambria"/>
          <w:sz w:val="22"/>
          <w:szCs w:val="22"/>
        </w:rPr>
      </w:pPr>
      <w:r w:rsidRPr="007515E4">
        <w:rPr>
          <w:rFonts w:ascii="Cambria" w:hAnsi="Cambria"/>
          <w:sz w:val="22"/>
          <w:szCs w:val="22"/>
        </w:rPr>
        <w:t>To meet long-term waste reduction goals, the State must implement policy that both enforces clear performance standards and funds sustained education efforts.</w:t>
      </w:r>
      <w:r>
        <w:rPr>
          <w:rFonts w:ascii="Cambria" w:hAnsi="Cambria"/>
          <w:sz w:val="22"/>
          <w:szCs w:val="22"/>
        </w:rPr>
        <w:t xml:space="preserve">  </w:t>
      </w:r>
      <w:r w:rsidR="00CF12DB" w:rsidRPr="008A5A76">
        <w:rPr>
          <w:rFonts w:ascii="Cambria" w:hAnsi="Cambria"/>
          <w:sz w:val="22"/>
          <w:szCs w:val="22"/>
        </w:rPr>
        <w:t>Costs are real and rising</w:t>
      </w:r>
      <w:r w:rsidR="002E3B16">
        <w:rPr>
          <w:rFonts w:ascii="Cambria" w:hAnsi="Cambria"/>
          <w:sz w:val="22"/>
          <w:szCs w:val="22"/>
        </w:rPr>
        <w:t>.  W</w:t>
      </w:r>
      <w:r>
        <w:rPr>
          <w:rFonts w:ascii="Cambria" w:hAnsi="Cambria"/>
          <w:sz w:val="22"/>
          <w:szCs w:val="22"/>
        </w:rPr>
        <w:t>ithout</w:t>
      </w:r>
      <w:r w:rsidR="00CF12DB" w:rsidRPr="008A5A76">
        <w:rPr>
          <w:rFonts w:ascii="Cambria" w:hAnsi="Cambria"/>
          <w:sz w:val="22"/>
          <w:szCs w:val="22"/>
        </w:rPr>
        <w:t xml:space="preserve"> sustained education funding and consistent standards, capture and quality will remain constrained.</w:t>
      </w:r>
    </w:p>
    <w:p w14:paraId="56A36965" w14:textId="4DB95314" w:rsidR="00F00D73" w:rsidRPr="008A5A76" w:rsidRDefault="008A5A76" w:rsidP="00CF12DB">
      <w:pPr>
        <w:rPr>
          <w:rFonts w:ascii="Cambria" w:hAnsi="Cambria"/>
          <w:sz w:val="22"/>
          <w:szCs w:val="22"/>
        </w:rPr>
      </w:pPr>
      <w:r w:rsidRPr="008A5A76">
        <w:rPr>
          <w:rFonts w:ascii="Cambria" w:hAnsi="Cambria"/>
          <w:sz w:val="22"/>
          <w:szCs w:val="22"/>
        </w:rPr>
        <w:t>Local</w:t>
      </w:r>
      <w:r w:rsidR="00CF12DB" w:rsidRPr="008A5A76">
        <w:rPr>
          <w:rFonts w:ascii="Cambria" w:hAnsi="Cambria"/>
          <w:sz w:val="22"/>
          <w:szCs w:val="22"/>
        </w:rPr>
        <w:t xml:space="preserve"> governments cannot deliver an 85% reduction goal through isolated municipal programs when the dominant material stream (packaging/paper) is driven by product design, market volatility, inconsistent acceptance lists, contamination, and inadequate education funding. Meeting </w:t>
      </w:r>
      <w:r w:rsidRPr="008A5A76">
        <w:rPr>
          <w:rFonts w:ascii="Cambria" w:hAnsi="Cambria"/>
          <w:sz w:val="22"/>
          <w:szCs w:val="22"/>
        </w:rPr>
        <w:lastRenderedPageBreak/>
        <w:t xml:space="preserve">waste reduction goals </w:t>
      </w:r>
      <w:r w:rsidR="00CF12DB" w:rsidRPr="008A5A76">
        <w:rPr>
          <w:rFonts w:ascii="Cambria" w:hAnsi="Cambria"/>
          <w:sz w:val="22"/>
          <w:szCs w:val="22"/>
        </w:rPr>
        <w:t xml:space="preserve">requires a broad, statewide </w:t>
      </w:r>
      <w:r w:rsidRPr="008A5A76">
        <w:rPr>
          <w:rFonts w:ascii="Cambria" w:hAnsi="Cambria"/>
          <w:sz w:val="22"/>
          <w:szCs w:val="22"/>
        </w:rPr>
        <w:t>restructuring through implementation of EPR for packaging</w:t>
      </w:r>
      <w:r w:rsidR="00CF12DB" w:rsidRPr="008A5A76">
        <w:rPr>
          <w:rFonts w:ascii="Cambria" w:hAnsi="Cambria"/>
          <w:sz w:val="22"/>
          <w:szCs w:val="22"/>
        </w:rPr>
        <w:t xml:space="preserve">—one that </w:t>
      </w:r>
      <w:r w:rsidRPr="008A5A76">
        <w:rPr>
          <w:rFonts w:ascii="Cambria" w:hAnsi="Cambria"/>
          <w:sz w:val="22"/>
          <w:szCs w:val="22"/>
        </w:rPr>
        <w:t xml:space="preserve">includes paper products, </w:t>
      </w:r>
      <w:r w:rsidR="00CF12DB" w:rsidRPr="008A5A76">
        <w:rPr>
          <w:rFonts w:ascii="Cambria" w:hAnsi="Cambria"/>
          <w:sz w:val="22"/>
          <w:szCs w:val="22"/>
        </w:rPr>
        <w:t>sets uniform standards, funds education and infrastructure, assigns clear financial</w:t>
      </w:r>
      <w:r w:rsidRPr="008A5A76">
        <w:rPr>
          <w:rFonts w:ascii="Cambria" w:hAnsi="Cambria"/>
          <w:sz w:val="22"/>
          <w:szCs w:val="22"/>
        </w:rPr>
        <w:t xml:space="preserve"> reimbursement</w:t>
      </w:r>
      <w:r w:rsidR="00CF12DB" w:rsidRPr="008A5A76">
        <w:rPr>
          <w:rFonts w:ascii="Cambria" w:hAnsi="Cambria"/>
          <w:sz w:val="22"/>
          <w:szCs w:val="22"/>
        </w:rPr>
        <w:t xml:space="preserve"> </w:t>
      </w:r>
      <w:r w:rsidRPr="008A5A76">
        <w:rPr>
          <w:rFonts w:ascii="Cambria" w:hAnsi="Cambria"/>
          <w:sz w:val="22"/>
          <w:szCs w:val="22"/>
        </w:rPr>
        <w:t xml:space="preserve">terms, </w:t>
      </w:r>
      <w:r w:rsidR="00CF12DB" w:rsidRPr="008A5A76">
        <w:rPr>
          <w:rFonts w:ascii="Cambria" w:hAnsi="Cambria"/>
          <w:sz w:val="22"/>
          <w:szCs w:val="22"/>
        </w:rPr>
        <w:t>and creates enforceable performance expectations.</w:t>
      </w:r>
    </w:p>
    <w:p w14:paraId="46DA847D" w14:textId="77777777" w:rsidR="0004230E" w:rsidRPr="00BB6D4F" w:rsidRDefault="0004230E" w:rsidP="0004230E">
      <w:pPr>
        <w:tabs>
          <w:tab w:val="right" w:pos="9810"/>
        </w:tabs>
        <w:ind w:right="360"/>
        <w:contextualSpacing/>
        <w:rPr>
          <w:rFonts w:ascii="Times New Roman" w:hAnsi="Times New Roman" w:cs="Times New Roman"/>
          <w:i/>
        </w:rPr>
      </w:pPr>
      <w:r w:rsidRPr="00BB6D4F">
        <w:rPr>
          <w:rFonts w:ascii="Times New Roman" w:hAnsi="Times New Roman" w:cs="Times New Roman"/>
          <w:i/>
          <w:highlight w:val="yellow"/>
        </w:rPr>
        <w:t>[Name, Position, and Local Government Name]</w:t>
      </w:r>
    </w:p>
    <w:p w14:paraId="20F4954F" w14:textId="090D15BF" w:rsidR="00CF12DB" w:rsidRPr="008A5A76" w:rsidRDefault="00CF12DB">
      <w:pPr>
        <w:rPr>
          <w:rFonts w:ascii="Cambria" w:hAnsi="Cambria"/>
          <w:sz w:val="22"/>
          <w:szCs w:val="22"/>
        </w:rPr>
      </w:pPr>
    </w:p>
    <w:sectPr w:rsidR="00CF12DB" w:rsidRPr="008A5A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22B9F"/>
    <w:multiLevelType w:val="hybridMultilevel"/>
    <w:tmpl w:val="4E208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106F2A"/>
    <w:multiLevelType w:val="hybridMultilevel"/>
    <w:tmpl w:val="B7D2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6CE64B6"/>
    <w:multiLevelType w:val="hybridMultilevel"/>
    <w:tmpl w:val="CA525B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6EE28B9"/>
    <w:multiLevelType w:val="hybridMultilevel"/>
    <w:tmpl w:val="D9F6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125107"/>
    <w:multiLevelType w:val="hybridMultilevel"/>
    <w:tmpl w:val="9B34B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B75293"/>
    <w:multiLevelType w:val="hybridMultilevel"/>
    <w:tmpl w:val="51CC8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63755C"/>
    <w:multiLevelType w:val="hybridMultilevel"/>
    <w:tmpl w:val="3A7AE6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0D54D37"/>
    <w:multiLevelType w:val="hybridMultilevel"/>
    <w:tmpl w:val="528AE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1C5396"/>
    <w:multiLevelType w:val="hybridMultilevel"/>
    <w:tmpl w:val="D56E6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8502E9"/>
    <w:multiLevelType w:val="hybridMultilevel"/>
    <w:tmpl w:val="94003D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39476764">
    <w:abstractNumId w:val="8"/>
  </w:num>
  <w:num w:numId="2" w16cid:durableId="546602876">
    <w:abstractNumId w:val="0"/>
  </w:num>
  <w:num w:numId="3" w16cid:durableId="1539706017">
    <w:abstractNumId w:val="2"/>
  </w:num>
  <w:num w:numId="4" w16cid:durableId="1626740519">
    <w:abstractNumId w:val="9"/>
  </w:num>
  <w:num w:numId="5" w16cid:durableId="326594834">
    <w:abstractNumId w:val="1"/>
  </w:num>
  <w:num w:numId="6" w16cid:durableId="145972428">
    <w:abstractNumId w:val="6"/>
  </w:num>
  <w:num w:numId="7" w16cid:durableId="1542084661">
    <w:abstractNumId w:val="3"/>
  </w:num>
  <w:num w:numId="8" w16cid:durableId="900483481">
    <w:abstractNumId w:val="4"/>
  </w:num>
  <w:num w:numId="9" w16cid:durableId="1868055990">
    <w:abstractNumId w:val="7"/>
  </w:num>
  <w:num w:numId="10" w16cid:durableId="4753404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2DB"/>
    <w:rsid w:val="0004230E"/>
    <w:rsid w:val="002E3B16"/>
    <w:rsid w:val="004A4130"/>
    <w:rsid w:val="007515E4"/>
    <w:rsid w:val="007A4AE4"/>
    <w:rsid w:val="008A5A76"/>
    <w:rsid w:val="009F2002"/>
    <w:rsid w:val="00AE0C84"/>
    <w:rsid w:val="00B06778"/>
    <w:rsid w:val="00B27756"/>
    <w:rsid w:val="00C82E82"/>
    <w:rsid w:val="00CF12DB"/>
    <w:rsid w:val="00F00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7A354"/>
  <w15:chartTrackingRefBased/>
  <w15:docId w15:val="{6766C8A7-0FA8-419F-9E30-365679B64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12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12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12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12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12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12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12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12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12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2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12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12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12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12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12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12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12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12DB"/>
    <w:rPr>
      <w:rFonts w:eastAsiaTheme="majorEastAsia" w:cstheme="majorBidi"/>
      <w:color w:val="272727" w:themeColor="text1" w:themeTint="D8"/>
    </w:rPr>
  </w:style>
  <w:style w:type="paragraph" w:styleId="Title">
    <w:name w:val="Title"/>
    <w:basedOn w:val="Normal"/>
    <w:next w:val="Normal"/>
    <w:link w:val="TitleChar"/>
    <w:uiPriority w:val="10"/>
    <w:qFormat/>
    <w:rsid w:val="00CF12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12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12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12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12DB"/>
    <w:pPr>
      <w:spacing w:before="160"/>
      <w:jc w:val="center"/>
    </w:pPr>
    <w:rPr>
      <w:i/>
      <w:iCs/>
      <w:color w:val="404040" w:themeColor="text1" w:themeTint="BF"/>
    </w:rPr>
  </w:style>
  <w:style w:type="character" w:customStyle="1" w:styleId="QuoteChar">
    <w:name w:val="Quote Char"/>
    <w:basedOn w:val="DefaultParagraphFont"/>
    <w:link w:val="Quote"/>
    <w:uiPriority w:val="29"/>
    <w:rsid w:val="00CF12DB"/>
    <w:rPr>
      <w:i/>
      <w:iCs/>
      <w:color w:val="404040" w:themeColor="text1" w:themeTint="BF"/>
    </w:rPr>
  </w:style>
  <w:style w:type="paragraph" w:styleId="ListParagraph">
    <w:name w:val="List Paragraph"/>
    <w:basedOn w:val="Normal"/>
    <w:uiPriority w:val="34"/>
    <w:qFormat/>
    <w:rsid w:val="00CF12DB"/>
    <w:pPr>
      <w:ind w:left="720"/>
      <w:contextualSpacing/>
    </w:pPr>
  </w:style>
  <w:style w:type="character" w:styleId="IntenseEmphasis">
    <w:name w:val="Intense Emphasis"/>
    <w:basedOn w:val="DefaultParagraphFont"/>
    <w:uiPriority w:val="21"/>
    <w:qFormat/>
    <w:rsid w:val="00CF12DB"/>
    <w:rPr>
      <w:i/>
      <w:iCs/>
      <w:color w:val="0F4761" w:themeColor="accent1" w:themeShade="BF"/>
    </w:rPr>
  </w:style>
  <w:style w:type="paragraph" w:styleId="IntenseQuote">
    <w:name w:val="Intense Quote"/>
    <w:basedOn w:val="Normal"/>
    <w:next w:val="Normal"/>
    <w:link w:val="IntenseQuoteChar"/>
    <w:uiPriority w:val="30"/>
    <w:qFormat/>
    <w:rsid w:val="00CF12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12DB"/>
    <w:rPr>
      <w:i/>
      <w:iCs/>
      <w:color w:val="0F4761" w:themeColor="accent1" w:themeShade="BF"/>
    </w:rPr>
  </w:style>
  <w:style w:type="character" w:styleId="IntenseReference">
    <w:name w:val="Intense Reference"/>
    <w:basedOn w:val="DefaultParagraphFont"/>
    <w:uiPriority w:val="32"/>
    <w:qFormat/>
    <w:rsid w:val="00CF12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64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3205</Characters>
  <Application>Microsoft Office Word</Application>
  <DocSecurity>0</DocSecurity>
  <Lines>62</Lines>
  <Paragraphs>44</Paragraphs>
  <ScaleCrop>false</ScaleCrop>
  <HeadingPairs>
    <vt:vector size="2" baseType="variant">
      <vt:variant>
        <vt:lpstr>Title</vt:lpstr>
      </vt:variant>
      <vt:variant>
        <vt:i4>1</vt:i4>
      </vt:variant>
    </vt:vector>
  </HeadingPairs>
  <TitlesOfParts>
    <vt:vector size="1" baseType="lpstr">
      <vt:lpstr/>
    </vt:vector>
  </TitlesOfParts>
  <Company>Niagara County</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M Timm</dc:creator>
  <cp:keywords/>
  <dc:description/>
  <cp:lastModifiedBy>Dawn M Timm</cp:lastModifiedBy>
  <cp:revision>2</cp:revision>
  <dcterms:created xsi:type="dcterms:W3CDTF">2026-03-10T16:16:00Z</dcterms:created>
  <dcterms:modified xsi:type="dcterms:W3CDTF">2026-03-10T16:16:00Z</dcterms:modified>
</cp:coreProperties>
</file>